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Campfire sitting Management and Safety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The students will learn why fire is so important in our lives; how to respect fire; the dangers of fire; to be safe and responsible around it and what is needed to build a small fire successfully.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We will aim to build and use the campfire as safely as possible and the designated area ONLY will be used for campfires (see site map).</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u w:val="single"/>
        </w:rPr>
      </w:pPr>
      <w:r w:rsidDel="00000000" w:rsidR="00000000" w:rsidRPr="00000000">
        <w:rPr>
          <w:u w:val="single"/>
          <w:rtl w:val="0"/>
        </w:rPr>
        <w:t xml:space="preserve">The following procedures will be followed when at the Forest School:</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We will aim to build and use the campfire as safely as possible and the designated area ONLY will be used for campfires (see site map).</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When building the fire, there will always be at least 2 adults present in Forest School. </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ONLY a Forest School leader can supervise the use of the fire.</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Fire areas are surrounded by seating logs 2 metres from the fire pit. When the campfire is in use, children are not permitted to access the area without permission. When allowed to access the campfire, children must walk around the outside of the seating logs and wait for permission to step over.</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All belongings will be kept clear of the walkways and entry/exit points to and from the fire.</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 Once seated around the campfire, the children must remain seated until directed by an adult to move.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NO RUNNING.</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Long sleeves and trousers must always be worn (NO highly flammable materials.</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Children are not permitted to throw anything onto the fire. </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 If there is a clear wind direction, seating in the line of smoke is to be avoided.  If wind direction is variable, the leader should rearrange the seating if at all possible. Fires will not be lit in strong winds. </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Children will be reminded to raise their hand and inform staff if they need to move away from smoke.</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 A lit fire will not be left unattended at any point.</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No flammable liquids or plastics are to be used on the fire.</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If sessions involve children adding fuel to the fire, this must be done with one to one adult supervision. </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Water and a water bucket should always be available during campfire sessions. </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At the end of the session, the fire must be extinguished with water until all smoke and steam has ceased. </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These items will be essential whenever a fire is lit: • Fire blanket • Heat Proof gloves or gauntlets • Clean emergency water supply • Burns first aid kit.</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 Fire Risk Assessment (see separate risk assessment and FS Handbook.)</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